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2702" w14:textId="377435AE" w:rsidR="002F02CD" w:rsidRPr="00A73D92" w:rsidRDefault="00C94208" w:rsidP="00A73D92">
      <w:pPr>
        <w:jc w:val="center"/>
        <w:rPr>
          <w:b/>
          <w:bCs/>
        </w:rPr>
      </w:pPr>
      <w:r w:rsidRPr="00A73D92">
        <w:rPr>
          <w:b/>
          <w:bCs/>
        </w:rPr>
        <w:t xml:space="preserve">Radon Action Guide for </w:t>
      </w:r>
      <w:r w:rsidR="00DA4ED9">
        <w:rPr>
          <w:b/>
          <w:bCs/>
        </w:rPr>
        <w:t>Municipalities</w:t>
      </w:r>
      <w:r w:rsidR="002F02CD" w:rsidRPr="00A73D92">
        <w:rPr>
          <w:b/>
          <w:bCs/>
        </w:rPr>
        <w:t xml:space="preserve"> </w:t>
      </w:r>
    </w:p>
    <w:p w14:paraId="3443DEAB" w14:textId="21584ABA" w:rsidR="00A73D92" w:rsidRDefault="00C61B14" w:rsidP="006254BC">
      <w:pPr>
        <w:tabs>
          <w:tab w:val="left" w:pos="3080"/>
        </w:tabs>
        <w:rPr>
          <w:color w:val="FF0000"/>
        </w:rPr>
      </w:pPr>
      <w:r>
        <w:rPr>
          <w:color w:val="FF0000"/>
        </w:rPr>
        <w:tab/>
      </w:r>
    </w:p>
    <w:p w14:paraId="01FB61DE" w14:textId="5AD333CA" w:rsidR="00A73D92" w:rsidRDefault="00A73D92">
      <w:pPr>
        <w:rPr>
          <w:color w:val="000000" w:themeColor="text1"/>
        </w:rPr>
      </w:pPr>
      <w:r>
        <w:rPr>
          <w:color w:val="000000" w:themeColor="text1"/>
        </w:rPr>
        <w:t>Th</w:t>
      </w:r>
      <w:r w:rsidR="005F69B1">
        <w:rPr>
          <w:color w:val="000000" w:themeColor="text1"/>
        </w:rPr>
        <w:t xml:space="preserve">e table below </w:t>
      </w:r>
      <w:r w:rsidR="00E6104F">
        <w:rPr>
          <w:color w:val="000000" w:themeColor="text1"/>
        </w:rPr>
        <w:t>provides</w:t>
      </w:r>
      <w:r>
        <w:rPr>
          <w:color w:val="000000" w:themeColor="text1"/>
        </w:rPr>
        <w:t xml:space="preserve"> the</w:t>
      </w:r>
      <w:r w:rsidR="00644BA4">
        <w:rPr>
          <w:color w:val="000000" w:themeColor="text1"/>
        </w:rPr>
        <w:t xml:space="preserve"> guidance and recommended actions from the Health Canada</w:t>
      </w:r>
      <w:r>
        <w:rPr>
          <w:color w:val="000000" w:themeColor="text1"/>
        </w:rPr>
        <w:t xml:space="preserve"> </w:t>
      </w:r>
      <w:r w:rsidR="00E06FAE">
        <w:rPr>
          <w:color w:val="000000" w:themeColor="text1"/>
        </w:rPr>
        <w:t>Radon Action Guide</w:t>
      </w:r>
      <w:r w:rsidR="005F69B1">
        <w:rPr>
          <w:color w:val="000000" w:themeColor="text1"/>
        </w:rPr>
        <w:t xml:space="preserve"> </w:t>
      </w:r>
      <w:r w:rsidR="00DF26D1">
        <w:rPr>
          <w:color w:val="000000" w:themeColor="text1"/>
        </w:rPr>
        <w:t>(RAG)</w:t>
      </w:r>
      <w:r w:rsidR="00E06FAE">
        <w:rPr>
          <w:color w:val="000000" w:themeColor="text1"/>
        </w:rPr>
        <w:t xml:space="preserve"> </w:t>
      </w:r>
      <w:r w:rsidR="00E6104F">
        <w:rPr>
          <w:color w:val="000000" w:themeColor="text1"/>
        </w:rPr>
        <w:t xml:space="preserve">so that </w:t>
      </w:r>
      <w:r w:rsidR="00DA4ED9">
        <w:rPr>
          <w:color w:val="000000" w:themeColor="text1"/>
        </w:rPr>
        <w:t>Municipalities</w:t>
      </w:r>
      <w:r w:rsidR="00E06FAE">
        <w:rPr>
          <w:color w:val="000000" w:themeColor="text1"/>
        </w:rPr>
        <w:t xml:space="preserve"> </w:t>
      </w:r>
      <w:r w:rsidR="00E6104F">
        <w:rPr>
          <w:color w:val="000000" w:themeColor="text1"/>
        </w:rPr>
        <w:t>can easily</w:t>
      </w:r>
      <w:r w:rsidR="00644BA4">
        <w:rPr>
          <w:color w:val="000000" w:themeColor="text1"/>
        </w:rPr>
        <w:t xml:space="preserve"> </w:t>
      </w:r>
      <w:r w:rsidR="006254BC">
        <w:rPr>
          <w:color w:val="000000" w:themeColor="text1"/>
        </w:rPr>
        <w:t>compile and view</w:t>
      </w:r>
      <w:r w:rsidR="00644BA4">
        <w:rPr>
          <w:color w:val="000000" w:themeColor="text1"/>
        </w:rPr>
        <w:t xml:space="preserve"> </w:t>
      </w:r>
      <w:r w:rsidR="00DF26D1">
        <w:rPr>
          <w:color w:val="000000" w:themeColor="text1"/>
        </w:rPr>
        <w:t xml:space="preserve">their </w:t>
      </w:r>
      <w:r w:rsidR="00644BA4">
        <w:rPr>
          <w:color w:val="000000" w:themeColor="text1"/>
        </w:rPr>
        <w:t xml:space="preserve">radon reduction </w:t>
      </w:r>
      <w:r w:rsidR="00E06FAE">
        <w:rPr>
          <w:color w:val="000000" w:themeColor="text1"/>
        </w:rPr>
        <w:t>actions to date</w:t>
      </w:r>
      <w:r w:rsidR="005F69B1">
        <w:rPr>
          <w:color w:val="000000" w:themeColor="text1"/>
        </w:rPr>
        <w:t>,</w:t>
      </w:r>
      <w:r w:rsidR="00E06FAE">
        <w:rPr>
          <w:color w:val="000000" w:themeColor="text1"/>
        </w:rPr>
        <w:t xml:space="preserve"> </w:t>
      </w:r>
      <w:r w:rsidR="000D073E">
        <w:rPr>
          <w:color w:val="000000" w:themeColor="text1"/>
        </w:rPr>
        <w:t xml:space="preserve">as well as </w:t>
      </w:r>
      <w:r w:rsidR="00C61B14">
        <w:rPr>
          <w:color w:val="000000" w:themeColor="text1"/>
        </w:rPr>
        <w:t xml:space="preserve">consider </w:t>
      </w:r>
      <w:r w:rsidR="000D073E">
        <w:rPr>
          <w:color w:val="000000" w:themeColor="text1"/>
        </w:rPr>
        <w:t>options and ideas</w:t>
      </w:r>
      <w:r w:rsidR="00E06FAE">
        <w:rPr>
          <w:color w:val="000000" w:themeColor="text1"/>
        </w:rPr>
        <w:t xml:space="preserve"> for future actions.</w:t>
      </w:r>
      <w:r w:rsidR="000D073E">
        <w:rPr>
          <w:color w:val="000000" w:themeColor="text1"/>
        </w:rPr>
        <w:t xml:space="preserve"> This table is a resource to help authorities build a </w:t>
      </w:r>
      <w:r w:rsidR="00A371CD">
        <w:rPr>
          <w:color w:val="000000" w:themeColor="text1"/>
        </w:rPr>
        <w:t>longer-term</w:t>
      </w:r>
      <w:r w:rsidR="000D073E">
        <w:rPr>
          <w:color w:val="000000" w:themeColor="text1"/>
        </w:rPr>
        <w:t xml:space="preserve"> Radon Action Plan.</w:t>
      </w:r>
    </w:p>
    <w:p w14:paraId="53CDDE47" w14:textId="1992010C" w:rsidR="004468DE" w:rsidRDefault="004468DE">
      <w:pPr>
        <w:rPr>
          <w:color w:val="000000" w:themeColor="text1"/>
        </w:rPr>
      </w:pPr>
    </w:p>
    <w:p w14:paraId="46697A61" w14:textId="4A4D6277" w:rsidR="00A73D92" w:rsidRDefault="004468DE">
      <w:pPr>
        <w:rPr>
          <w:color w:val="000000" w:themeColor="text1"/>
        </w:rPr>
      </w:pPr>
      <w:r w:rsidRPr="004468DE">
        <w:rPr>
          <w:color w:val="000000" w:themeColor="text1"/>
        </w:rPr>
        <w:t xml:space="preserve">Review </w:t>
      </w:r>
      <w:r w:rsidR="005F69B1">
        <w:rPr>
          <w:color w:val="000000" w:themeColor="text1"/>
        </w:rPr>
        <w:t xml:space="preserve">the </w:t>
      </w:r>
      <w:r w:rsidRPr="004468DE">
        <w:rPr>
          <w:color w:val="000000" w:themeColor="text1"/>
        </w:rPr>
        <w:t>companion documents to this one when coming up with your strategy</w:t>
      </w:r>
      <w:r w:rsidR="005F69B1">
        <w:rPr>
          <w:color w:val="000000" w:themeColor="text1"/>
        </w:rPr>
        <w:t>:</w:t>
      </w:r>
    </w:p>
    <w:p w14:paraId="1AD2F10A" w14:textId="267F8AA3" w:rsidR="004468DE" w:rsidRPr="004468DE" w:rsidRDefault="00000000" w:rsidP="004468DE">
      <w:pPr>
        <w:pStyle w:val="ListParagraph"/>
        <w:numPr>
          <w:ilvl w:val="0"/>
          <w:numId w:val="7"/>
        </w:numPr>
        <w:rPr>
          <w:color w:val="000000" w:themeColor="text1"/>
        </w:rPr>
      </w:pPr>
      <w:hyperlink r:id="rId8" w:history="1">
        <w:r w:rsidR="004468DE" w:rsidRPr="004468DE">
          <w:rPr>
            <w:rStyle w:val="Hyperlink"/>
          </w:rPr>
          <w:t>Radon action in municipal law</w:t>
        </w:r>
      </w:hyperlink>
    </w:p>
    <w:p w14:paraId="51D9A930" w14:textId="0369352B" w:rsidR="004468DE" w:rsidRPr="004468DE" w:rsidRDefault="00000000" w:rsidP="004468DE">
      <w:pPr>
        <w:pStyle w:val="ListParagraph"/>
        <w:numPr>
          <w:ilvl w:val="0"/>
          <w:numId w:val="7"/>
        </w:numPr>
        <w:rPr>
          <w:color w:val="000000" w:themeColor="text1"/>
        </w:rPr>
      </w:pPr>
      <w:hyperlink r:id="rId9" w:history="1">
        <w:r w:rsidR="004468DE" w:rsidRPr="004468DE">
          <w:rPr>
            <w:rStyle w:val="Hyperlink"/>
          </w:rPr>
          <w:t>Justifications and policy rationales for radon action</w:t>
        </w:r>
      </w:hyperlink>
    </w:p>
    <w:p w14:paraId="56CF6F07" w14:textId="77777777" w:rsidR="004468DE" w:rsidRDefault="004468DE">
      <w:pPr>
        <w:rPr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9"/>
        <w:gridCol w:w="2674"/>
        <w:gridCol w:w="1541"/>
        <w:gridCol w:w="4803"/>
        <w:gridCol w:w="2363"/>
      </w:tblGrid>
      <w:tr w:rsidR="00ED65E5" w:rsidRPr="00E06FAE" w14:paraId="622DA5CE" w14:textId="77777777" w:rsidTr="00885629">
        <w:tc>
          <w:tcPr>
            <w:tcW w:w="594" w:type="pct"/>
            <w:shd w:val="clear" w:color="auto" w:fill="B4C6E7" w:themeFill="accent1" w:themeFillTint="66"/>
          </w:tcPr>
          <w:p w14:paraId="01C8E6D3" w14:textId="6B5BC6A6" w:rsidR="00ED65E5" w:rsidRPr="00260FDD" w:rsidRDefault="00ED65E5">
            <w:pPr>
              <w:rPr>
                <w:b/>
                <w:bCs/>
                <w:color w:val="000000" w:themeColor="text1"/>
              </w:rPr>
            </w:pPr>
            <w:r w:rsidRPr="00260FDD">
              <w:rPr>
                <w:b/>
                <w:bCs/>
                <w:color w:val="000000" w:themeColor="text1"/>
              </w:rPr>
              <w:t>Action Category</w:t>
            </w:r>
          </w:p>
        </w:tc>
        <w:tc>
          <w:tcPr>
            <w:tcW w:w="961" w:type="pct"/>
            <w:shd w:val="clear" w:color="auto" w:fill="B4C6E7" w:themeFill="accent1" w:themeFillTint="66"/>
          </w:tcPr>
          <w:p w14:paraId="0AD687C5" w14:textId="1FB83F2F" w:rsidR="00ED65E5" w:rsidRPr="00260FDD" w:rsidRDefault="00ED65E5">
            <w:pPr>
              <w:rPr>
                <w:b/>
                <w:bCs/>
                <w:color w:val="000000" w:themeColor="text1"/>
              </w:rPr>
            </w:pPr>
            <w:r w:rsidRPr="00260FDD">
              <w:rPr>
                <w:b/>
                <w:bCs/>
                <w:color w:val="000000" w:themeColor="text1"/>
              </w:rPr>
              <w:t>Action</w:t>
            </w:r>
          </w:p>
        </w:tc>
        <w:tc>
          <w:tcPr>
            <w:tcW w:w="581" w:type="pct"/>
            <w:shd w:val="clear" w:color="auto" w:fill="B4C6E7" w:themeFill="accent1" w:themeFillTint="66"/>
          </w:tcPr>
          <w:p w14:paraId="71251924" w14:textId="30DBCED4" w:rsidR="00ED65E5" w:rsidRDefault="005B655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Examples</w:t>
            </w:r>
          </w:p>
        </w:tc>
        <w:tc>
          <w:tcPr>
            <w:tcW w:w="1903" w:type="pct"/>
            <w:shd w:val="clear" w:color="auto" w:fill="B4C6E7" w:themeFill="accent1" w:themeFillTint="66"/>
          </w:tcPr>
          <w:p w14:paraId="134BEA65" w14:textId="03ABCEB1" w:rsidR="00ED65E5" w:rsidRPr="00260FDD" w:rsidRDefault="00ED65E5">
            <w:pPr>
              <w:rPr>
                <w:b/>
                <w:bCs/>
                <w:color w:val="000000" w:themeColor="text1"/>
              </w:rPr>
            </w:pPr>
            <w:r w:rsidRPr="00260FDD">
              <w:rPr>
                <w:b/>
                <w:bCs/>
                <w:color w:val="000000" w:themeColor="text1"/>
              </w:rPr>
              <w:t xml:space="preserve">Initiative to </w:t>
            </w:r>
            <w:r>
              <w:rPr>
                <w:b/>
                <w:bCs/>
                <w:color w:val="000000" w:themeColor="text1"/>
              </w:rPr>
              <w:t>D</w:t>
            </w:r>
            <w:r w:rsidRPr="00260FDD">
              <w:rPr>
                <w:b/>
                <w:bCs/>
                <w:color w:val="000000" w:themeColor="text1"/>
              </w:rPr>
              <w:t>ate</w:t>
            </w:r>
          </w:p>
        </w:tc>
        <w:tc>
          <w:tcPr>
            <w:tcW w:w="961" w:type="pct"/>
            <w:shd w:val="clear" w:color="auto" w:fill="B4C6E7" w:themeFill="accent1" w:themeFillTint="66"/>
          </w:tcPr>
          <w:p w14:paraId="2994C0C7" w14:textId="77777777" w:rsidR="00ED65E5" w:rsidRDefault="00ED65E5">
            <w:pPr>
              <w:rPr>
                <w:b/>
                <w:bCs/>
                <w:color w:val="000000" w:themeColor="text1"/>
              </w:rPr>
            </w:pPr>
            <w:r w:rsidRPr="00260FDD">
              <w:rPr>
                <w:b/>
                <w:bCs/>
                <w:color w:val="000000" w:themeColor="text1"/>
              </w:rPr>
              <w:t>Future Potential</w:t>
            </w:r>
            <w:r>
              <w:rPr>
                <w:b/>
                <w:bCs/>
                <w:color w:val="000000" w:themeColor="text1"/>
              </w:rPr>
              <w:t xml:space="preserve"> Initiatives </w:t>
            </w:r>
          </w:p>
          <w:p w14:paraId="626BF1F1" w14:textId="073E28C5" w:rsidR="00ED65E5" w:rsidRPr="00497C88" w:rsidRDefault="00ED65E5">
            <w:pPr>
              <w:rPr>
                <w:color w:val="000000" w:themeColor="text1"/>
              </w:rPr>
            </w:pPr>
          </w:p>
        </w:tc>
      </w:tr>
      <w:tr w:rsidR="00ED65E5" w:rsidRPr="00E06FAE" w14:paraId="4278D6E9" w14:textId="77777777" w:rsidTr="00885629">
        <w:tc>
          <w:tcPr>
            <w:tcW w:w="594" w:type="pct"/>
          </w:tcPr>
          <w:p w14:paraId="0C3EC853" w14:textId="248C7FA8" w:rsidR="00ED65E5" w:rsidRPr="00497C88" w:rsidRDefault="00000000" w:rsidP="00E06FAE">
            <w:pPr>
              <w:rPr>
                <w:b/>
                <w:bCs/>
                <w:color w:val="000000" w:themeColor="text1"/>
              </w:rPr>
            </w:pPr>
            <w:hyperlink r:id="rId10" w:history="1">
              <w:r w:rsidR="00ED65E5" w:rsidRPr="00742D63">
                <w:rPr>
                  <w:rStyle w:val="Hyperlink"/>
                  <w:b/>
                  <w:bCs/>
                </w:rPr>
                <w:t>Planning for Radon</w:t>
              </w:r>
            </w:hyperlink>
            <w:r w:rsidR="00ED65E5" w:rsidRPr="00497C88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61" w:type="pct"/>
          </w:tcPr>
          <w:p w14:paraId="41CAF46D" w14:textId="77777777" w:rsidR="00885629" w:rsidRP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t>Radon Action Plans</w:t>
            </w:r>
          </w:p>
          <w:p w14:paraId="6E7C964C" w14:textId="031580D1" w:rsid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Bylaws and operating policies: rental accommodations, </w:t>
            </w:r>
            <w:r w:rsidR="00A231D9">
              <w:rPr>
                <w:color w:val="000000" w:themeColor="text1"/>
              </w:rPr>
              <w:t>publicly</w:t>
            </w:r>
            <w:r>
              <w:rPr>
                <w:color w:val="000000" w:themeColor="text1"/>
              </w:rPr>
              <w:t xml:space="preserve"> accessible places, municipal owned buildings, building code </w:t>
            </w:r>
            <w:proofErr w:type="gramStart"/>
            <w:r>
              <w:rPr>
                <w:color w:val="000000" w:themeColor="text1"/>
              </w:rPr>
              <w:t>enforcement</w:t>
            </w:r>
            <w:proofErr w:type="gramEnd"/>
          </w:p>
          <w:p w14:paraId="33D4368F" w14:textId="77777777" w:rsid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Community testing</w:t>
            </w:r>
          </w:p>
          <w:p w14:paraId="19FDA151" w14:textId="77777777" w:rsid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Goals to reduce indoor radon exposure in </w:t>
            </w:r>
            <w:proofErr w:type="gramStart"/>
            <w:r>
              <w:rPr>
                <w:color w:val="000000" w:themeColor="text1"/>
              </w:rPr>
              <w:t>community</w:t>
            </w:r>
            <w:proofErr w:type="gramEnd"/>
          </w:p>
          <w:p w14:paraId="0F09246A" w14:textId="77777777" w:rsid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Community testing</w:t>
            </w:r>
          </w:p>
          <w:p w14:paraId="5B15CA3E" w14:textId="2C8B1E37" w:rsidR="00ED65E5" w:rsidRPr="00885629" w:rsidRDefault="00885629" w:rsidP="0088562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Public education and awareness campaigns (Radon Action Month – November)</w:t>
            </w:r>
          </w:p>
        </w:tc>
        <w:tc>
          <w:tcPr>
            <w:tcW w:w="581" w:type="pct"/>
          </w:tcPr>
          <w:p w14:paraId="181ED42E" w14:textId="2932C8CA" w:rsidR="00ED65E5" w:rsidRDefault="0055786B" w:rsidP="00E06FAE">
            <w:pPr>
              <w:rPr>
                <w:color w:val="000000" w:themeColor="text1"/>
              </w:rPr>
            </w:pPr>
            <w:r w:rsidRPr="0055786B">
              <w:rPr>
                <w:color w:val="000000" w:themeColor="text1"/>
              </w:rPr>
              <w:lastRenderedPageBreak/>
              <w:t xml:space="preserve">More detail on the way radon can be included in established municipal planning frameworks is outlined in </w:t>
            </w:r>
            <w:hyperlink r:id="rId11" w:history="1">
              <w:r w:rsidRPr="0055786B">
                <w:rPr>
                  <w:rStyle w:val="Hyperlink"/>
                </w:rPr>
                <w:t>Radon action in municipal law</w:t>
              </w:r>
            </w:hyperlink>
            <w:r w:rsidRPr="0055786B">
              <w:rPr>
                <w:color w:val="000000" w:themeColor="text1"/>
              </w:rPr>
              <w:t>.</w:t>
            </w:r>
          </w:p>
        </w:tc>
        <w:tc>
          <w:tcPr>
            <w:tcW w:w="1903" w:type="pct"/>
          </w:tcPr>
          <w:p w14:paraId="5F97CEA0" w14:textId="71850BB3" w:rsidR="00ED65E5" w:rsidRPr="00E06FAE" w:rsidRDefault="00ED65E5" w:rsidP="00E06FAE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5DDEABFC" w14:textId="2D80B15B" w:rsidR="00ED65E5" w:rsidRPr="00E06FAE" w:rsidRDefault="00ED65E5" w:rsidP="00E06FAE">
            <w:pPr>
              <w:rPr>
                <w:color w:val="000000" w:themeColor="text1"/>
              </w:rPr>
            </w:pPr>
          </w:p>
        </w:tc>
      </w:tr>
      <w:tr w:rsidR="00ED65E5" w:rsidRPr="00E06FAE" w14:paraId="0461580C" w14:textId="77777777" w:rsidTr="00885629">
        <w:tc>
          <w:tcPr>
            <w:tcW w:w="594" w:type="pct"/>
          </w:tcPr>
          <w:p w14:paraId="68E97FFA" w14:textId="6CC6A363" w:rsidR="00ED65E5" w:rsidRPr="00497C88" w:rsidRDefault="00000000" w:rsidP="00D23714">
            <w:pPr>
              <w:rPr>
                <w:b/>
                <w:bCs/>
                <w:color w:val="000000" w:themeColor="text1"/>
              </w:rPr>
            </w:pPr>
            <w:hyperlink r:id="rId12" w:anchor="a2" w:history="1">
              <w:r w:rsidR="00ED65E5" w:rsidRPr="00897CE7">
                <w:rPr>
                  <w:rStyle w:val="Hyperlink"/>
                  <w:b/>
                  <w:bCs/>
                </w:rPr>
                <w:t>Education and awareness</w:t>
              </w:r>
            </w:hyperlink>
          </w:p>
        </w:tc>
        <w:tc>
          <w:tcPr>
            <w:tcW w:w="961" w:type="pct"/>
          </w:tcPr>
          <w:p w14:paraId="09F7ECBE" w14:textId="77777777" w:rsidR="00885629" w:rsidRPr="00885629" w:rsidRDefault="00885629" w:rsidP="0088562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>Websites</w:t>
            </w:r>
          </w:p>
          <w:p w14:paraId="0179A508" w14:textId="3727F38E" w:rsidR="00885629" w:rsidRPr="00885629" w:rsidRDefault="00885629" w:rsidP="0088562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>Pamphlets</w:t>
            </w:r>
          </w:p>
          <w:p w14:paraId="1B5349FC" w14:textId="77777777" w:rsidR="00885629" w:rsidRPr="00885629" w:rsidRDefault="00885629" w:rsidP="0088562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>Ad campaigns</w:t>
            </w:r>
          </w:p>
          <w:p w14:paraId="60DF8378" w14:textId="61930A13" w:rsidR="00ED65E5" w:rsidRPr="00885629" w:rsidRDefault="00885629" w:rsidP="00885629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>Public presentations</w:t>
            </w:r>
          </w:p>
        </w:tc>
        <w:tc>
          <w:tcPr>
            <w:tcW w:w="581" w:type="pct"/>
          </w:tcPr>
          <w:p w14:paraId="1F834140" w14:textId="09A340B5" w:rsidR="00ED65E5" w:rsidRDefault="00000000" w:rsidP="00D23714">
            <w:pPr>
              <w:rPr>
                <w:color w:val="000000" w:themeColor="text1"/>
              </w:rPr>
            </w:pPr>
            <w:hyperlink r:id="rId13" w:anchor="a1" w:history="1">
              <w:r w:rsidR="00EC3842" w:rsidRPr="00EC3842">
                <w:rPr>
                  <w:rStyle w:val="Hyperlink"/>
                </w:rPr>
                <w:t>Education and awareness</w:t>
              </w:r>
            </w:hyperlink>
          </w:p>
        </w:tc>
        <w:tc>
          <w:tcPr>
            <w:tcW w:w="1903" w:type="pct"/>
          </w:tcPr>
          <w:p w14:paraId="4517A0AF" w14:textId="7BC71526" w:rsidR="00ED65E5" w:rsidRPr="00E06FAE" w:rsidRDefault="00ED65E5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64860457" w14:textId="002ABD8C" w:rsidR="00ED65E5" w:rsidRPr="009E0252" w:rsidRDefault="00ED65E5" w:rsidP="00D23714">
            <w:pPr>
              <w:rPr>
                <w:color w:val="000000" w:themeColor="text1"/>
              </w:rPr>
            </w:pPr>
          </w:p>
        </w:tc>
      </w:tr>
      <w:tr w:rsidR="00885629" w:rsidRPr="00E06FAE" w14:paraId="2E9B201F" w14:textId="77777777" w:rsidTr="00885629">
        <w:tc>
          <w:tcPr>
            <w:tcW w:w="594" w:type="pct"/>
          </w:tcPr>
          <w:p w14:paraId="0ED0C14A" w14:textId="654A1725" w:rsidR="00885629" w:rsidRDefault="00000000" w:rsidP="00D23714">
            <w:pPr>
              <w:rPr>
                <w:b/>
                <w:bCs/>
                <w:color w:val="000000" w:themeColor="text1"/>
              </w:rPr>
            </w:pPr>
            <w:hyperlink r:id="rId14" w:anchor="a3" w:history="1">
              <w:r w:rsidR="00885629" w:rsidRPr="00885629">
                <w:rPr>
                  <w:rStyle w:val="Hyperlink"/>
                  <w:b/>
                  <w:bCs/>
                </w:rPr>
                <w:t xml:space="preserve">Testing, </w:t>
              </w:r>
              <w:proofErr w:type="gramStart"/>
              <w:r w:rsidR="00885629" w:rsidRPr="00885629">
                <w:rPr>
                  <w:rStyle w:val="Hyperlink"/>
                  <w:b/>
                  <w:bCs/>
                </w:rPr>
                <w:t>mapping</w:t>
              </w:r>
              <w:proofErr w:type="gramEnd"/>
              <w:r w:rsidR="00885629" w:rsidRPr="00885629">
                <w:rPr>
                  <w:rStyle w:val="Hyperlink"/>
                  <w:b/>
                  <w:bCs/>
                </w:rPr>
                <w:t xml:space="preserve"> and databases</w:t>
              </w:r>
            </w:hyperlink>
          </w:p>
        </w:tc>
        <w:tc>
          <w:tcPr>
            <w:tcW w:w="961" w:type="pct"/>
          </w:tcPr>
          <w:p w14:paraId="0701F84A" w14:textId="77777777" w:rsidR="00885629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Purchase long-term kits in bulk and </w:t>
            </w:r>
            <w:proofErr w:type="gramStart"/>
            <w:r>
              <w:rPr>
                <w:color w:val="000000" w:themeColor="text1"/>
              </w:rPr>
              <w:t>sell</w:t>
            </w:r>
            <w:proofErr w:type="gramEnd"/>
          </w:p>
          <w:p w14:paraId="5A50BC60" w14:textId="77777777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Direct subsidy</w:t>
            </w:r>
          </w:p>
          <w:p w14:paraId="7993E050" w14:textId="423D4576" w:rsidR="00B236CE" w:rsidRP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with existing lung associations and charitable societies</w:t>
            </w:r>
          </w:p>
        </w:tc>
        <w:tc>
          <w:tcPr>
            <w:tcW w:w="581" w:type="pct"/>
          </w:tcPr>
          <w:p w14:paraId="39115240" w14:textId="7C633D94" w:rsidR="00885629" w:rsidRDefault="00000000" w:rsidP="00D23714">
            <w:pPr>
              <w:rPr>
                <w:color w:val="000000" w:themeColor="text1"/>
              </w:rPr>
            </w:pPr>
            <w:hyperlink r:id="rId15" w:anchor="a2" w:history="1">
              <w:r w:rsidR="00EC3842" w:rsidRPr="00EC3842">
                <w:rPr>
                  <w:rStyle w:val="Hyperlink"/>
                </w:rPr>
                <w:t>Testing databases and mapping</w:t>
              </w:r>
            </w:hyperlink>
          </w:p>
        </w:tc>
        <w:tc>
          <w:tcPr>
            <w:tcW w:w="1903" w:type="pct"/>
          </w:tcPr>
          <w:p w14:paraId="688D3E62" w14:textId="77777777" w:rsidR="00885629" w:rsidRPr="00E06FAE" w:rsidRDefault="00885629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0D9F2D57" w14:textId="77777777" w:rsidR="00885629" w:rsidRPr="009E0252" w:rsidRDefault="00885629" w:rsidP="00D23714">
            <w:pPr>
              <w:rPr>
                <w:color w:val="000000" w:themeColor="text1"/>
              </w:rPr>
            </w:pPr>
          </w:p>
        </w:tc>
      </w:tr>
      <w:tr w:rsidR="00B236CE" w:rsidRPr="00E06FAE" w14:paraId="00224EA9" w14:textId="77777777" w:rsidTr="00885629">
        <w:tc>
          <w:tcPr>
            <w:tcW w:w="594" w:type="pct"/>
          </w:tcPr>
          <w:p w14:paraId="47CEB9DB" w14:textId="2F84802C" w:rsidR="00B236CE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16" w:anchor="a1" w:history="1">
              <w:r w:rsidR="00B236CE" w:rsidRPr="00B236CE">
                <w:rPr>
                  <w:rStyle w:val="Hyperlink"/>
                  <w:b/>
                  <w:bCs/>
                </w:rPr>
                <w:t>Government operations and social housing</w:t>
              </w:r>
            </w:hyperlink>
          </w:p>
        </w:tc>
        <w:tc>
          <w:tcPr>
            <w:tcW w:w="961" w:type="pct"/>
          </w:tcPr>
          <w:p w14:paraId="60BCD96D" w14:textId="13C40084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Testing and mitigate government building and social housing, and improve standards in new building</w:t>
            </w:r>
          </w:p>
        </w:tc>
        <w:tc>
          <w:tcPr>
            <w:tcW w:w="581" w:type="pct"/>
          </w:tcPr>
          <w:p w14:paraId="47EE26C1" w14:textId="19B9C7F2" w:rsidR="00B236CE" w:rsidRDefault="00000000" w:rsidP="00D23714">
            <w:pPr>
              <w:rPr>
                <w:color w:val="000000" w:themeColor="text1"/>
              </w:rPr>
            </w:pPr>
            <w:hyperlink r:id="rId17" w:anchor="a3" w:history="1">
              <w:r w:rsidR="00EC3842" w:rsidRPr="00EC3842">
                <w:rPr>
                  <w:rStyle w:val="Hyperlink"/>
                </w:rPr>
                <w:t>Government operations and social housing</w:t>
              </w:r>
            </w:hyperlink>
          </w:p>
        </w:tc>
        <w:tc>
          <w:tcPr>
            <w:tcW w:w="1903" w:type="pct"/>
          </w:tcPr>
          <w:p w14:paraId="16519322" w14:textId="77777777" w:rsidR="00B236CE" w:rsidRPr="00E06FAE" w:rsidRDefault="00B236CE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52862ABC" w14:textId="1B90DA4E" w:rsidR="00B236CE" w:rsidRDefault="00B236CE" w:rsidP="00D23714">
            <w:pPr>
              <w:rPr>
                <w:color w:val="000000" w:themeColor="text1"/>
              </w:rPr>
            </w:pPr>
          </w:p>
        </w:tc>
      </w:tr>
      <w:tr w:rsidR="00B236CE" w:rsidRPr="00E06FAE" w14:paraId="21DA4789" w14:textId="77777777" w:rsidTr="00885629">
        <w:tc>
          <w:tcPr>
            <w:tcW w:w="594" w:type="pct"/>
          </w:tcPr>
          <w:p w14:paraId="1EAEC6E4" w14:textId="020C23F4" w:rsidR="00B236CE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18" w:anchor="a2" w:history="1">
              <w:r w:rsidR="00B236CE" w:rsidRPr="00B236CE">
                <w:rPr>
                  <w:rStyle w:val="Hyperlink"/>
                  <w:b/>
                  <w:bCs/>
                </w:rPr>
                <w:t>Building codes</w:t>
              </w:r>
            </w:hyperlink>
          </w:p>
        </w:tc>
        <w:tc>
          <w:tcPr>
            <w:tcW w:w="961" w:type="pct"/>
          </w:tcPr>
          <w:p w14:paraId="3210CBEE" w14:textId="3D75473B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B236CE">
              <w:rPr>
                <w:color w:val="000000" w:themeColor="text1"/>
              </w:rPr>
              <w:t>mpose stricter building code requirements depends on the provincial and municipal law system</w:t>
            </w:r>
          </w:p>
        </w:tc>
        <w:tc>
          <w:tcPr>
            <w:tcW w:w="581" w:type="pct"/>
          </w:tcPr>
          <w:p w14:paraId="496C3EA7" w14:textId="05E2BBD0" w:rsidR="00B236CE" w:rsidRDefault="00000000" w:rsidP="00D23714">
            <w:pPr>
              <w:rPr>
                <w:color w:val="000000" w:themeColor="text1"/>
              </w:rPr>
            </w:pPr>
            <w:hyperlink r:id="rId19" w:anchor="a1" w:history="1">
              <w:r w:rsidR="00EC3842" w:rsidRPr="00EC3842">
                <w:rPr>
                  <w:rStyle w:val="Hyperlink"/>
                </w:rPr>
                <w:t>Building codes</w:t>
              </w:r>
            </w:hyperlink>
          </w:p>
        </w:tc>
        <w:tc>
          <w:tcPr>
            <w:tcW w:w="1903" w:type="pct"/>
          </w:tcPr>
          <w:p w14:paraId="58AC7AA9" w14:textId="77777777" w:rsidR="00B236CE" w:rsidRPr="00E06FAE" w:rsidRDefault="00B236CE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6BEA981B" w14:textId="77777777" w:rsidR="00B236CE" w:rsidRDefault="00B236CE" w:rsidP="00D23714">
            <w:pPr>
              <w:rPr>
                <w:color w:val="000000" w:themeColor="text1"/>
              </w:rPr>
            </w:pPr>
          </w:p>
        </w:tc>
      </w:tr>
      <w:tr w:rsidR="00B236CE" w:rsidRPr="00E06FAE" w14:paraId="2C7240B4" w14:textId="77777777" w:rsidTr="00885629">
        <w:tc>
          <w:tcPr>
            <w:tcW w:w="594" w:type="pct"/>
          </w:tcPr>
          <w:p w14:paraId="4A938EA5" w14:textId="734F3EF9" w:rsidR="00B236CE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20" w:anchor="a3" w:history="1">
              <w:r w:rsidR="00B236CE" w:rsidRPr="00B236CE">
                <w:rPr>
                  <w:rStyle w:val="Hyperlink"/>
                  <w:b/>
                  <w:bCs/>
                </w:rPr>
                <w:t>Housing and maintenance standards</w:t>
              </w:r>
            </w:hyperlink>
          </w:p>
        </w:tc>
        <w:tc>
          <w:tcPr>
            <w:tcW w:w="961" w:type="pct"/>
          </w:tcPr>
          <w:p w14:paraId="6C7641A3" w14:textId="77777777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236CE">
              <w:rPr>
                <w:color w:val="000000" w:themeColor="text1"/>
              </w:rPr>
              <w:t xml:space="preserve">consider updating these standards to explicitly require radon testing and mitigation to ensure Canadian Radon Guidelines are </w:t>
            </w:r>
            <w:proofErr w:type="gramStart"/>
            <w:r w:rsidRPr="00B236CE">
              <w:rPr>
                <w:color w:val="000000" w:themeColor="text1"/>
              </w:rPr>
              <w:t>met</w:t>
            </w:r>
            <w:proofErr w:type="gramEnd"/>
          </w:p>
          <w:p w14:paraId="192BAC62" w14:textId="77777777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236CE">
              <w:rPr>
                <w:color w:val="000000" w:themeColor="text1"/>
              </w:rPr>
              <w:t xml:space="preserve">take steps to ensure enforcement of maintenance </w:t>
            </w:r>
            <w:proofErr w:type="gramStart"/>
            <w:r w:rsidRPr="00B236CE">
              <w:rPr>
                <w:color w:val="000000" w:themeColor="text1"/>
              </w:rPr>
              <w:t>standards</w:t>
            </w:r>
            <w:proofErr w:type="gramEnd"/>
          </w:p>
          <w:p w14:paraId="19D42ECE" w14:textId="47D79BF1" w:rsid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236CE">
              <w:rPr>
                <w:color w:val="000000" w:themeColor="text1"/>
              </w:rPr>
              <w:t>add protection from high radon to such bylaws, creating a powerful tool for protecting renters</w:t>
            </w:r>
          </w:p>
        </w:tc>
        <w:tc>
          <w:tcPr>
            <w:tcW w:w="581" w:type="pct"/>
          </w:tcPr>
          <w:p w14:paraId="7C1446A9" w14:textId="1D5A0F0C" w:rsidR="00B236CE" w:rsidRDefault="00000000" w:rsidP="00D23714">
            <w:pPr>
              <w:rPr>
                <w:color w:val="000000" w:themeColor="text1"/>
              </w:rPr>
            </w:pPr>
            <w:hyperlink r:id="rId21" w:anchor="a2" w:history="1">
              <w:r w:rsidR="00EC3842" w:rsidRPr="00EC3842">
                <w:rPr>
                  <w:rStyle w:val="Hyperlink"/>
                </w:rPr>
                <w:t>Standards of maintenance bylaws</w:t>
              </w:r>
            </w:hyperlink>
          </w:p>
        </w:tc>
        <w:tc>
          <w:tcPr>
            <w:tcW w:w="1903" w:type="pct"/>
          </w:tcPr>
          <w:p w14:paraId="30E7B995" w14:textId="77777777" w:rsidR="00B236CE" w:rsidRPr="00E06FAE" w:rsidRDefault="00B236CE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44C74A17" w14:textId="77777777" w:rsidR="00B236CE" w:rsidRDefault="00B236CE" w:rsidP="00D23714">
            <w:pPr>
              <w:rPr>
                <w:color w:val="000000" w:themeColor="text1"/>
              </w:rPr>
            </w:pPr>
          </w:p>
        </w:tc>
      </w:tr>
      <w:tr w:rsidR="00B236CE" w:rsidRPr="00E06FAE" w14:paraId="64398BB1" w14:textId="77777777" w:rsidTr="00885629">
        <w:tc>
          <w:tcPr>
            <w:tcW w:w="594" w:type="pct"/>
          </w:tcPr>
          <w:p w14:paraId="6E24C4F4" w14:textId="47550615" w:rsidR="00B236CE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22" w:anchor="a4" w:history="1">
              <w:r w:rsidR="00B236CE" w:rsidRPr="00EC3842">
                <w:rPr>
                  <w:rStyle w:val="Hyperlink"/>
                  <w:b/>
                  <w:bCs/>
                </w:rPr>
                <w:t xml:space="preserve">Radon requirements </w:t>
              </w:r>
              <w:r w:rsidR="00B236CE" w:rsidRPr="00EC3842">
                <w:rPr>
                  <w:rStyle w:val="Hyperlink"/>
                  <w:b/>
                  <w:bCs/>
                </w:rPr>
                <w:lastRenderedPageBreak/>
                <w:t>in public spaces</w:t>
              </w:r>
            </w:hyperlink>
          </w:p>
        </w:tc>
        <w:tc>
          <w:tcPr>
            <w:tcW w:w="961" w:type="pct"/>
          </w:tcPr>
          <w:p w14:paraId="13A4C991" w14:textId="4A5C7ADD" w:rsidR="00B236CE" w:rsidRPr="00B236CE" w:rsidRDefault="00B236CE" w:rsidP="00B236C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236CE">
              <w:rPr>
                <w:color w:val="000000" w:themeColor="text1"/>
              </w:rPr>
              <w:lastRenderedPageBreak/>
              <w:t xml:space="preserve">“Clean Air” or “Health” bylaws could be </w:t>
            </w:r>
            <w:r w:rsidRPr="00B236CE">
              <w:rPr>
                <w:color w:val="000000" w:themeColor="text1"/>
              </w:rPr>
              <w:lastRenderedPageBreak/>
              <w:t>expanded to include rules requiring testing and necessary mitigation of radon in public indoor spaces.</w:t>
            </w:r>
          </w:p>
        </w:tc>
        <w:tc>
          <w:tcPr>
            <w:tcW w:w="581" w:type="pct"/>
          </w:tcPr>
          <w:p w14:paraId="33D57C25" w14:textId="43593974" w:rsidR="00B236CE" w:rsidRDefault="00000000" w:rsidP="00D23714">
            <w:pPr>
              <w:rPr>
                <w:color w:val="000000" w:themeColor="text1"/>
              </w:rPr>
            </w:pPr>
            <w:hyperlink r:id="rId23" w:anchor="a3" w:history="1">
              <w:r w:rsidR="004468DE" w:rsidRPr="004468DE">
                <w:rPr>
                  <w:rStyle w:val="Hyperlink"/>
                </w:rPr>
                <w:t xml:space="preserve">Radon requirements </w:t>
              </w:r>
              <w:r w:rsidR="004468DE" w:rsidRPr="004468DE">
                <w:rPr>
                  <w:rStyle w:val="Hyperlink"/>
                </w:rPr>
                <w:lastRenderedPageBreak/>
                <w:t>in public spaces</w:t>
              </w:r>
            </w:hyperlink>
          </w:p>
        </w:tc>
        <w:tc>
          <w:tcPr>
            <w:tcW w:w="1903" w:type="pct"/>
          </w:tcPr>
          <w:p w14:paraId="20086153" w14:textId="77777777" w:rsidR="00B236CE" w:rsidRPr="00E06FAE" w:rsidRDefault="00B236CE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7C8A645F" w14:textId="77777777" w:rsidR="00B236CE" w:rsidRDefault="00B236CE" w:rsidP="00D23714">
            <w:pPr>
              <w:rPr>
                <w:color w:val="000000" w:themeColor="text1"/>
              </w:rPr>
            </w:pPr>
          </w:p>
        </w:tc>
      </w:tr>
      <w:tr w:rsidR="00EC3842" w:rsidRPr="00E06FAE" w14:paraId="39B240BE" w14:textId="77777777" w:rsidTr="00885629">
        <w:tc>
          <w:tcPr>
            <w:tcW w:w="594" w:type="pct"/>
          </w:tcPr>
          <w:p w14:paraId="356174DB" w14:textId="64848AF0" w:rsidR="00EC3842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24" w:anchor="a5" w:history="1">
              <w:r w:rsidR="00EC3842" w:rsidRPr="00EC3842">
                <w:rPr>
                  <w:rStyle w:val="Hyperlink"/>
                  <w:b/>
                  <w:bCs/>
                </w:rPr>
                <w:t>Subsidies and incentives for testing and mitigation</w:t>
              </w:r>
            </w:hyperlink>
          </w:p>
        </w:tc>
        <w:tc>
          <w:tcPr>
            <w:tcW w:w="961" w:type="pct"/>
          </w:tcPr>
          <w:p w14:paraId="3F83775C" w14:textId="77777777" w:rsidR="00EC3842" w:rsidRPr="00EC3842" w:rsidRDefault="00EC3842" w:rsidP="00EC384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3842">
              <w:rPr>
                <w:color w:val="000000" w:themeColor="text1"/>
              </w:rPr>
              <w:t>Municipalities can include a subsidy system for radon in their municipal budgets and adjust tax rates accordingly. Subsidies can take the form of:</w:t>
            </w:r>
          </w:p>
          <w:p w14:paraId="1D93A751" w14:textId="77777777" w:rsidR="00EC3842" w:rsidRPr="00EC3842" w:rsidRDefault="00EC3842" w:rsidP="00EC3842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EC3842">
              <w:rPr>
                <w:color w:val="000000" w:themeColor="text1"/>
              </w:rPr>
              <w:t>direct payments</w:t>
            </w:r>
          </w:p>
          <w:p w14:paraId="448690F6" w14:textId="77777777" w:rsidR="00EC3842" w:rsidRPr="00EC3842" w:rsidRDefault="00EC3842" w:rsidP="00EC3842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EC3842">
              <w:rPr>
                <w:color w:val="000000" w:themeColor="text1"/>
              </w:rPr>
              <w:t>low and no-interest loans</w:t>
            </w:r>
          </w:p>
          <w:p w14:paraId="76CCBFBC" w14:textId="79741298" w:rsidR="00EC3842" w:rsidRPr="00B236CE" w:rsidRDefault="00EC3842" w:rsidP="00EC3842">
            <w:pPr>
              <w:pStyle w:val="ListParagraph"/>
              <w:numPr>
                <w:ilvl w:val="1"/>
                <w:numId w:val="6"/>
              </w:numPr>
              <w:rPr>
                <w:color w:val="000000" w:themeColor="text1"/>
              </w:rPr>
            </w:pPr>
            <w:r w:rsidRPr="00EC3842">
              <w:rPr>
                <w:color w:val="000000" w:themeColor="text1"/>
              </w:rPr>
              <w:t>reduction of other taxes or fees</w:t>
            </w:r>
          </w:p>
        </w:tc>
        <w:tc>
          <w:tcPr>
            <w:tcW w:w="581" w:type="pct"/>
          </w:tcPr>
          <w:p w14:paraId="27E488C2" w14:textId="6EFC2424" w:rsidR="00EC3842" w:rsidRDefault="00000000" w:rsidP="00D23714">
            <w:pPr>
              <w:rPr>
                <w:color w:val="000000" w:themeColor="text1"/>
              </w:rPr>
            </w:pPr>
            <w:hyperlink r:id="rId25" w:anchor="a1" w:history="1">
              <w:r w:rsidR="004468DE" w:rsidRPr="004468DE">
                <w:rPr>
                  <w:rStyle w:val="Hyperlink"/>
                </w:rPr>
                <w:t>Subsidies and incentives</w:t>
              </w:r>
            </w:hyperlink>
            <w:r w:rsidR="004468DE">
              <w:rPr>
                <w:color w:val="000000" w:themeColor="text1"/>
              </w:rPr>
              <w:t xml:space="preserve"> </w:t>
            </w:r>
          </w:p>
        </w:tc>
        <w:tc>
          <w:tcPr>
            <w:tcW w:w="1903" w:type="pct"/>
          </w:tcPr>
          <w:p w14:paraId="055F3EE4" w14:textId="77777777" w:rsidR="00EC3842" w:rsidRPr="00E06FAE" w:rsidRDefault="00EC3842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31FC5E16" w14:textId="77777777" w:rsidR="00EC3842" w:rsidRDefault="00EC3842" w:rsidP="00D23714">
            <w:pPr>
              <w:rPr>
                <w:color w:val="000000" w:themeColor="text1"/>
              </w:rPr>
            </w:pPr>
          </w:p>
        </w:tc>
      </w:tr>
      <w:tr w:rsidR="00EC3842" w:rsidRPr="00E06FAE" w14:paraId="111E9431" w14:textId="77777777" w:rsidTr="00885629">
        <w:tc>
          <w:tcPr>
            <w:tcW w:w="594" w:type="pct"/>
          </w:tcPr>
          <w:p w14:paraId="6D6BE2D6" w14:textId="02797E56" w:rsidR="00EC3842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26" w:anchor="a6" w:history="1">
              <w:r w:rsidR="00EC3842" w:rsidRPr="00EC3842">
                <w:rPr>
                  <w:rStyle w:val="Hyperlink"/>
                  <w:b/>
                  <w:bCs/>
                </w:rPr>
                <w:t>Energy efficiency retrofits</w:t>
              </w:r>
            </w:hyperlink>
          </w:p>
        </w:tc>
        <w:tc>
          <w:tcPr>
            <w:tcW w:w="961" w:type="pct"/>
          </w:tcPr>
          <w:p w14:paraId="5EEA293F" w14:textId="58EA94E3" w:rsidR="00EC3842" w:rsidRPr="00EC3842" w:rsidRDefault="00EC3842" w:rsidP="00EC384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EC3842">
              <w:rPr>
                <w:color w:val="000000" w:themeColor="text1"/>
              </w:rPr>
              <w:t xml:space="preserve">ncentive and financing programs for efficiency and </w:t>
            </w:r>
            <w:r w:rsidRPr="00EC3842">
              <w:rPr>
                <w:color w:val="000000" w:themeColor="text1"/>
              </w:rPr>
              <w:lastRenderedPageBreak/>
              <w:t>other green building improvements should include covering the costs of radon testing and mitigation.</w:t>
            </w:r>
          </w:p>
        </w:tc>
        <w:tc>
          <w:tcPr>
            <w:tcW w:w="581" w:type="pct"/>
          </w:tcPr>
          <w:p w14:paraId="583D3951" w14:textId="22D638AE" w:rsidR="00EC3842" w:rsidRDefault="00000000" w:rsidP="004468DE">
            <w:pPr>
              <w:rPr>
                <w:color w:val="000000" w:themeColor="text1"/>
              </w:rPr>
            </w:pPr>
            <w:hyperlink r:id="rId27" w:anchor="a2" w:history="1">
              <w:r w:rsidR="004468DE" w:rsidRPr="004468DE">
                <w:rPr>
                  <w:rStyle w:val="Hyperlink"/>
                </w:rPr>
                <w:t>Energy efficiency</w:t>
              </w:r>
            </w:hyperlink>
          </w:p>
        </w:tc>
        <w:tc>
          <w:tcPr>
            <w:tcW w:w="1903" w:type="pct"/>
          </w:tcPr>
          <w:p w14:paraId="3FCCB3B0" w14:textId="77777777" w:rsidR="00EC3842" w:rsidRPr="00E06FAE" w:rsidRDefault="00EC3842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2B1649EB" w14:textId="77777777" w:rsidR="00EC3842" w:rsidRDefault="00EC3842" w:rsidP="00D23714">
            <w:pPr>
              <w:rPr>
                <w:color w:val="000000" w:themeColor="text1"/>
              </w:rPr>
            </w:pPr>
          </w:p>
        </w:tc>
      </w:tr>
      <w:tr w:rsidR="00EC3842" w:rsidRPr="00E06FAE" w14:paraId="0DD1BEDA" w14:textId="77777777" w:rsidTr="00885629">
        <w:tc>
          <w:tcPr>
            <w:tcW w:w="594" w:type="pct"/>
          </w:tcPr>
          <w:p w14:paraId="569FB8B8" w14:textId="2EA8D4F6" w:rsidR="00EC3842" w:rsidRDefault="00000000" w:rsidP="00B236CE">
            <w:pPr>
              <w:tabs>
                <w:tab w:val="center" w:pos="637"/>
              </w:tabs>
              <w:rPr>
                <w:b/>
                <w:bCs/>
                <w:color w:val="000000" w:themeColor="text1"/>
              </w:rPr>
            </w:pPr>
            <w:hyperlink r:id="rId28" w:anchor="a7" w:history="1">
              <w:r w:rsidR="00EC3842" w:rsidRPr="00EC3842">
                <w:rPr>
                  <w:rStyle w:val="Hyperlink"/>
                  <w:b/>
                  <w:bCs/>
                </w:rPr>
                <w:t>New development areas</w:t>
              </w:r>
            </w:hyperlink>
          </w:p>
        </w:tc>
        <w:tc>
          <w:tcPr>
            <w:tcW w:w="961" w:type="pct"/>
          </w:tcPr>
          <w:p w14:paraId="487E4DAD" w14:textId="7FEE9D6B" w:rsidR="00EC3842" w:rsidRDefault="00EC3842" w:rsidP="00EC3842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C3842">
              <w:rPr>
                <w:color w:val="000000" w:themeColor="text1"/>
              </w:rPr>
              <w:t>Local governments might consider radon in soil when siting, zoning, and permitting new housing.</w:t>
            </w:r>
          </w:p>
        </w:tc>
        <w:tc>
          <w:tcPr>
            <w:tcW w:w="581" w:type="pct"/>
          </w:tcPr>
          <w:p w14:paraId="3076AFBA" w14:textId="77777777" w:rsidR="00EC3842" w:rsidRDefault="00EC3842" w:rsidP="00D23714">
            <w:pPr>
              <w:rPr>
                <w:color w:val="000000" w:themeColor="text1"/>
              </w:rPr>
            </w:pPr>
          </w:p>
        </w:tc>
        <w:tc>
          <w:tcPr>
            <w:tcW w:w="1903" w:type="pct"/>
          </w:tcPr>
          <w:p w14:paraId="54405028" w14:textId="77777777" w:rsidR="00EC3842" w:rsidRPr="00E06FAE" w:rsidRDefault="00EC3842" w:rsidP="00D23714">
            <w:pPr>
              <w:rPr>
                <w:color w:val="000000" w:themeColor="text1"/>
              </w:rPr>
            </w:pPr>
          </w:p>
        </w:tc>
        <w:tc>
          <w:tcPr>
            <w:tcW w:w="961" w:type="pct"/>
          </w:tcPr>
          <w:p w14:paraId="424FE35A" w14:textId="77777777" w:rsidR="00EC3842" w:rsidRDefault="00EC3842" w:rsidP="00D23714">
            <w:pPr>
              <w:rPr>
                <w:color w:val="000000" w:themeColor="text1"/>
              </w:rPr>
            </w:pPr>
          </w:p>
        </w:tc>
      </w:tr>
    </w:tbl>
    <w:p w14:paraId="6C7302FE" w14:textId="719ED864" w:rsidR="00E06FAE" w:rsidRPr="00E06FAE" w:rsidRDefault="00E06FAE">
      <w:pPr>
        <w:rPr>
          <w:color w:val="000000" w:themeColor="text1"/>
        </w:rPr>
      </w:pPr>
    </w:p>
    <w:sectPr w:rsidR="00E06FAE" w:rsidRPr="00E06FAE" w:rsidSect="008F193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01B2"/>
    <w:multiLevelType w:val="hybridMultilevel"/>
    <w:tmpl w:val="83D02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D7CA3"/>
    <w:multiLevelType w:val="hybridMultilevel"/>
    <w:tmpl w:val="A238C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E41"/>
    <w:multiLevelType w:val="hybridMultilevel"/>
    <w:tmpl w:val="8E84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1D9A"/>
    <w:multiLevelType w:val="hybridMultilevel"/>
    <w:tmpl w:val="865E5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1C61"/>
    <w:multiLevelType w:val="hybridMultilevel"/>
    <w:tmpl w:val="97C4DE0A"/>
    <w:lvl w:ilvl="0" w:tplc="45AC571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11E92"/>
    <w:multiLevelType w:val="hybridMultilevel"/>
    <w:tmpl w:val="F8103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1D46"/>
    <w:multiLevelType w:val="hybridMultilevel"/>
    <w:tmpl w:val="5BB83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9683">
    <w:abstractNumId w:val="4"/>
  </w:num>
  <w:num w:numId="2" w16cid:durableId="284585088">
    <w:abstractNumId w:val="3"/>
  </w:num>
  <w:num w:numId="3" w16cid:durableId="1310941604">
    <w:abstractNumId w:val="6"/>
  </w:num>
  <w:num w:numId="4" w16cid:durableId="431753385">
    <w:abstractNumId w:val="0"/>
  </w:num>
  <w:num w:numId="5" w16cid:durableId="1362434840">
    <w:abstractNumId w:val="5"/>
  </w:num>
  <w:num w:numId="6" w16cid:durableId="1900556369">
    <w:abstractNumId w:val="1"/>
  </w:num>
  <w:num w:numId="7" w16cid:durableId="164188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08"/>
    <w:rsid w:val="000C4666"/>
    <w:rsid w:val="000D073E"/>
    <w:rsid w:val="00192A87"/>
    <w:rsid w:val="0023327C"/>
    <w:rsid w:val="00233ED5"/>
    <w:rsid w:val="00260FDD"/>
    <w:rsid w:val="002F02CD"/>
    <w:rsid w:val="004468DE"/>
    <w:rsid w:val="00497C88"/>
    <w:rsid w:val="004C59B0"/>
    <w:rsid w:val="0055786B"/>
    <w:rsid w:val="005B6550"/>
    <w:rsid w:val="005C17D5"/>
    <w:rsid w:val="005F69B1"/>
    <w:rsid w:val="00611418"/>
    <w:rsid w:val="0061230C"/>
    <w:rsid w:val="00615EA5"/>
    <w:rsid w:val="006254BC"/>
    <w:rsid w:val="00644BA4"/>
    <w:rsid w:val="00667049"/>
    <w:rsid w:val="00667A49"/>
    <w:rsid w:val="0069066A"/>
    <w:rsid w:val="006A47B7"/>
    <w:rsid w:val="006E05F8"/>
    <w:rsid w:val="00742D63"/>
    <w:rsid w:val="007C40EF"/>
    <w:rsid w:val="008122A8"/>
    <w:rsid w:val="00885629"/>
    <w:rsid w:val="00885EE5"/>
    <w:rsid w:val="00897CE7"/>
    <w:rsid w:val="008F193A"/>
    <w:rsid w:val="009E0252"/>
    <w:rsid w:val="00A231D9"/>
    <w:rsid w:val="00A371CD"/>
    <w:rsid w:val="00A73D92"/>
    <w:rsid w:val="00AD0139"/>
    <w:rsid w:val="00B236CE"/>
    <w:rsid w:val="00B61FDE"/>
    <w:rsid w:val="00BC236C"/>
    <w:rsid w:val="00BE4C10"/>
    <w:rsid w:val="00C61B14"/>
    <w:rsid w:val="00C94208"/>
    <w:rsid w:val="00CA73AF"/>
    <w:rsid w:val="00DA4ED9"/>
    <w:rsid w:val="00DF26D1"/>
    <w:rsid w:val="00DF7207"/>
    <w:rsid w:val="00E06FAE"/>
    <w:rsid w:val="00E6104F"/>
    <w:rsid w:val="00EC3842"/>
    <w:rsid w:val="00E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B211"/>
  <w15:chartTrackingRefBased/>
  <w15:docId w15:val="{BAC7FEE2-B1C1-C74B-B331-DE20A86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C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E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7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health-risks-safety/radiation/radon/action-guides/municipal-law.html" TargetMode="External"/><Relationship Id="rId13" Type="http://schemas.openxmlformats.org/officeDocument/2006/relationships/hyperlink" Target="https://www.canada.ca/en/health-canada/services/health-risks-safety/radiation/radon/action-guides/municipalities/outreach-testing-government-operations.html" TargetMode="External"/><Relationship Id="rId18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26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anada.ca/en/health-canada/services/health-risks-safety/radiation/radon/action-guides/municipalities/building-codes-bylaws-provision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nada.ca/en/health-canada/services/health-risks-safety/radiation/radon/action-guides/municipalities/reduction-actions.html" TargetMode="External"/><Relationship Id="rId17" Type="http://schemas.openxmlformats.org/officeDocument/2006/relationships/hyperlink" Target="https://www.canada.ca/en/health-canada/services/health-risks-safety/radiation/radon/action-guides/municipalities/outreach-testing-government-operations.html" TargetMode="External"/><Relationship Id="rId25" Type="http://schemas.openxmlformats.org/officeDocument/2006/relationships/hyperlink" Target="https://www.canada.ca/en/health-canada/services/health-risks-safety/radiation/radon/action-guides/municipalities/subsidies-incentives-energy-efficienc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20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health-canada/services/health-risks-safety/radiation/radon/action-guides/municipal-law.html" TargetMode="External"/><Relationship Id="rId24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nada.ca/en/health-canada/services/health-risks-safety/radiation/radon/action-guides/municipalities/outreach-testing-government-operations.html" TargetMode="External"/><Relationship Id="rId23" Type="http://schemas.openxmlformats.org/officeDocument/2006/relationships/hyperlink" Target="https://www.canada.ca/en/health-canada/services/health-risks-safety/radiation/radon/action-guides/municipalities/building-codes-bylaws-provisions.html" TargetMode="External"/><Relationship Id="rId28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10" Type="http://schemas.openxmlformats.org/officeDocument/2006/relationships/hyperlink" Target="https://www.canada.ca/en/health-canada/services/health-risks-safety/radiation/radon/action-guides/municipalities/reduction-actions.html" TargetMode="External"/><Relationship Id="rId19" Type="http://schemas.openxmlformats.org/officeDocument/2006/relationships/hyperlink" Target="https://www.canada.ca/en/health-canada/services/health-risks-safety/radiation/radon/action-guides/municipalities/building-codes-bylaws-provision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nada.ca/en/health-canada/services/health-risks-safety/radiation/radon/action-guides/justification-policy-rationales.html" TargetMode="External"/><Relationship Id="rId14" Type="http://schemas.openxmlformats.org/officeDocument/2006/relationships/hyperlink" Target="https://www.canada.ca/en/health-canada/services/health-risks-safety/radiation/radon/action-guides/municipalities/reduction-actions.html" TargetMode="External"/><Relationship Id="rId22" Type="http://schemas.openxmlformats.org/officeDocument/2006/relationships/hyperlink" Target="https://www.canada.ca/en/health-canada/services/health-risks-safety/radiation/radon/action-guides/municipalities/duties-policies-bylaws-incentives.html" TargetMode="External"/><Relationship Id="rId27" Type="http://schemas.openxmlformats.org/officeDocument/2006/relationships/hyperlink" Target="https://www.canada.ca/en/health-canada/services/health-risks-safety/radiation/radon/action-guides/municipalities/subsidies-incentives-energy-efficiency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4" ma:contentTypeDescription="Create a new document." ma:contentTypeScope="" ma:versionID="8bc961bbb1527cfad4a45a27364ceeb9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0e7d617ba763278b11141415a612f65c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B2A1F-3DF6-4C2D-BB59-90C15266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F0A8C-639E-4AC9-9346-9E354E9AF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8178D-D262-4030-ABE3-EAF2D2F09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Mills</dc:creator>
  <cp:keywords/>
  <dc:description/>
  <cp:lastModifiedBy>Pam Warkentin</cp:lastModifiedBy>
  <cp:revision>2</cp:revision>
  <dcterms:created xsi:type="dcterms:W3CDTF">2023-11-15T16:00:00Z</dcterms:created>
  <dcterms:modified xsi:type="dcterms:W3CDTF">2023-11-15T16:00:00Z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